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14:paraId="2E345B13" w14:textId="77777777" w:rsidTr="003F41F6">
        <w:trPr>
          <w:jc w:val="center"/>
        </w:trPr>
        <w:tc>
          <w:tcPr>
            <w:tcW w:w="9776" w:type="dxa"/>
            <w:gridSpan w:val="4"/>
            <w:shd w:val="clear" w:color="auto" w:fill="D9D9D9" w:themeFill="background1" w:themeFillShade="D9"/>
          </w:tcPr>
          <w:p w14:paraId="6012041B" w14:textId="77777777" w:rsidR="005222C5" w:rsidRPr="001905CA" w:rsidRDefault="005222C5" w:rsidP="0021688A">
            <w:pPr>
              <w:pStyle w:val="a4"/>
              <w:jc w:val="center"/>
              <w:rPr>
                <w:rFonts w:ascii="Times New Roman" w:eastAsia="標楷體" w:hAnsi="Times New Roman" w:cs="Times New Roman"/>
                <w:color w:val="000000" w:themeColor="text1"/>
                <w:sz w:val="28"/>
                <w:szCs w:val="28"/>
              </w:rPr>
            </w:pPr>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proofErr w:type="gramStart"/>
            <w:r w:rsidRPr="001905CA">
              <w:rPr>
                <w:rFonts w:ascii="Times New Roman" w:eastAsia="標楷體" w:hAnsi="Times New Roman" w:cs="Times New Roman"/>
                <w:color w:val="000000" w:themeColor="text1"/>
                <w:sz w:val="28"/>
                <w:szCs w:val="28"/>
              </w:rPr>
              <w:t>教師線上研習</w:t>
            </w:r>
            <w:proofErr w:type="gramEnd"/>
            <w:r w:rsidRPr="001905CA">
              <w:rPr>
                <w:rFonts w:ascii="Times New Roman" w:eastAsia="標楷體" w:hAnsi="Times New Roman" w:cs="Times New Roman"/>
                <w:color w:val="000000" w:themeColor="text1"/>
                <w:sz w:val="28"/>
                <w:szCs w:val="28"/>
              </w:rPr>
              <w:t>課程一覽表</w:t>
            </w:r>
          </w:p>
        </w:tc>
      </w:tr>
      <w:tr w:rsidR="005408BC" w:rsidRPr="004953E7" w14:paraId="358EEC78" w14:textId="77777777" w:rsidTr="003F41F6">
        <w:trPr>
          <w:jc w:val="center"/>
        </w:trPr>
        <w:tc>
          <w:tcPr>
            <w:tcW w:w="1776" w:type="dxa"/>
            <w:shd w:val="clear" w:color="auto" w:fill="F2F2F2" w:themeFill="background1" w:themeFillShade="F2"/>
            <w:vAlign w:val="center"/>
          </w:tcPr>
          <w:p w14:paraId="2996A485"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14:paraId="13325A23"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14:paraId="0DB89FB3"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14:paraId="7ED3453B"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14:paraId="0A13D2E9" w14:textId="77777777" w:rsidR="005222C5" w:rsidRPr="004953E7" w:rsidRDefault="005222C5" w:rsidP="005222C5">
            <w:pPr>
              <w:pStyle w:val="a4"/>
              <w:jc w:val="center"/>
              <w:rPr>
                <w:rFonts w:ascii="標楷體" w:eastAsia="標楷體" w:hAnsi="標楷體" w:cs="Times New Roman"/>
                <w:color w:val="000000" w:themeColor="text1"/>
                <w:szCs w:val="24"/>
              </w:rPr>
            </w:pPr>
            <w:proofErr w:type="gramStart"/>
            <w:r w:rsidRPr="004953E7">
              <w:rPr>
                <w:rFonts w:ascii="標楷體" w:eastAsia="標楷體" w:hAnsi="標楷體" w:cs="Times New Roman"/>
                <w:color w:val="000000" w:themeColor="text1"/>
                <w:szCs w:val="24"/>
              </w:rPr>
              <w:t>全教網課程</w:t>
            </w:r>
            <w:proofErr w:type="gramEnd"/>
            <w:r w:rsidRPr="004953E7">
              <w:rPr>
                <w:rFonts w:ascii="標楷體" w:eastAsia="標楷體" w:hAnsi="標楷體" w:cs="Times New Roman"/>
                <w:color w:val="000000" w:themeColor="text1"/>
                <w:szCs w:val="24"/>
              </w:rPr>
              <w:t>代碼</w:t>
            </w:r>
          </w:p>
        </w:tc>
      </w:tr>
      <w:tr w:rsidR="001905CA" w:rsidRPr="004953E7" w14:paraId="6057F690" w14:textId="77777777" w:rsidTr="003F41F6">
        <w:trPr>
          <w:jc w:val="center"/>
        </w:trPr>
        <w:tc>
          <w:tcPr>
            <w:tcW w:w="1776" w:type="dxa"/>
            <w:shd w:val="clear" w:color="auto" w:fill="F2F2F2" w:themeFill="background1" w:themeFillShade="F2"/>
          </w:tcPr>
          <w:p w14:paraId="4712776F" w14:textId="77777777"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2A7CADE0" w14:textId="77777777"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C2727F8" w14:textId="77777777"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14:paraId="55351468" w14:textId="77777777" w:rsidR="001905CA" w:rsidRPr="004D7D03" w:rsidRDefault="004D7D03" w:rsidP="001905CA">
            <w:pPr>
              <w:jc w:val="center"/>
              <w:rPr>
                <w:rFonts w:ascii="標楷體" w:eastAsia="標楷體" w:hAnsi="標楷體" w:cs="Times New Roman"/>
                <w:color w:val="000000" w:themeColor="text1"/>
                <w:szCs w:val="24"/>
              </w:rPr>
            </w:pPr>
            <w:proofErr w:type="gramStart"/>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roofErr w:type="gramEnd"/>
          </w:p>
        </w:tc>
        <w:tc>
          <w:tcPr>
            <w:tcW w:w="4050" w:type="dxa"/>
            <w:shd w:val="clear" w:color="auto" w:fill="F2F2F2" w:themeFill="background1" w:themeFillShade="F2"/>
          </w:tcPr>
          <w:p w14:paraId="705CC646" w14:textId="77777777"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14:paraId="322F6C3C"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14:paraId="345FD147" w14:textId="77777777" w:rsidTr="003F41F6">
        <w:trPr>
          <w:jc w:val="center"/>
        </w:trPr>
        <w:tc>
          <w:tcPr>
            <w:tcW w:w="9776" w:type="dxa"/>
            <w:gridSpan w:val="4"/>
            <w:shd w:val="clear" w:color="auto" w:fill="F2F2F2" w:themeFill="background1" w:themeFillShade="F2"/>
          </w:tcPr>
          <w:p w14:paraId="299AD811"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w:t>
            </w:r>
            <w:proofErr w:type="gramStart"/>
            <w:r w:rsidRPr="004D7D03">
              <w:rPr>
                <w:rFonts w:ascii="標楷體" w:eastAsia="標楷體" w:hAnsi="標楷體" w:hint="eastAsia"/>
                <w:color w:val="000000"/>
                <w:szCs w:val="24"/>
              </w:rPr>
              <w:t>疲憊、</w:t>
            </w:r>
            <w:proofErr w:type="gramEnd"/>
            <w:r w:rsidRPr="004D7D03">
              <w:rPr>
                <w:rFonts w:ascii="標楷體" w:eastAsia="標楷體" w:hAnsi="標楷體" w:hint="eastAsia"/>
                <w:color w:val="000000"/>
                <w:szCs w:val="24"/>
              </w:rPr>
              <w:t>耗能，這時候我們有一些恢復的方式，一起思考如何在百忙中充電，並且將生活中的小空檔當作自己回復的時間，時刻關注自己身心才能為自己身邊的人加油打氣～</w:t>
            </w:r>
          </w:p>
        </w:tc>
      </w:tr>
      <w:tr w:rsidR="001905CA" w:rsidRPr="004953E7" w14:paraId="3F5C2B76" w14:textId="77777777" w:rsidTr="003F41F6">
        <w:trPr>
          <w:jc w:val="center"/>
        </w:trPr>
        <w:tc>
          <w:tcPr>
            <w:tcW w:w="1776" w:type="dxa"/>
            <w:shd w:val="clear" w:color="auto" w:fill="F2F2F2" w:themeFill="background1" w:themeFillShade="F2"/>
          </w:tcPr>
          <w:p w14:paraId="5AEC671C"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3A3C809A"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E1E6F35"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14:paraId="309D273C"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17F7009E" w14:textId="77777777" w:rsidR="001905CA" w:rsidRPr="004D7D03" w:rsidRDefault="004D7D03" w:rsidP="003F41F6">
            <w:pPr>
              <w:jc w:val="center"/>
              <w:rPr>
                <w:rFonts w:ascii="標楷體" w:eastAsia="標楷體" w:hAnsi="標楷體" w:cs="Arial"/>
                <w:color w:val="000000" w:themeColor="text1"/>
                <w:szCs w:val="24"/>
              </w:rPr>
            </w:pPr>
            <w:proofErr w:type="gramStart"/>
            <w:r w:rsidRPr="004D7D03">
              <w:rPr>
                <w:rFonts w:ascii="標楷體" w:eastAsia="標楷體" w:hAnsi="標楷體"/>
                <w:szCs w:val="24"/>
              </w:rPr>
              <w:t>佳哉</w:t>
            </w:r>
            <w:proofErr w:type="gramEnd"/>
            <w:r w:rsidRPr="004D7D03">
              <w:rPr>
                <w:rFonts w:ascii="標楷體" w:eastAsia="標楷體" w:hAnsi="標楷體"/>
                <w:szCs w:val="24"/>
              </w:rPr>
              <w:t>！有你有我－促進親師合作與溝通</w:t>
            </w:r>
          </w:p>
        </w:tc>
        <w:tc>
          <w:tcPr>
            <w:tcW w:w="1984" w:type="dxa"/>
            <w:shd w:val="clear" w:color="auto" w:fill="F2F2F2" w:themeFill="background1" w:themeFillShade="F2"/>
          </w:tcPr>
          <w:p w14:paraId="79DF5C60"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08E7CACF" w14:textId="77777777"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14:paraId="5A86DF37" w14:textId="77777777" w:rsidTr="003F41F6">
        <w:trPr>
          <w:jc w:val="center"/>
        </w:trPr>
        <w:tc>
          <w:tcPr>
            <w:tcW w:w="9776" w:type="dxa"/>
            <w:gridSpan w:val="4"/>
            <w:shd w:val="clear" w:color="auto" w:fill="F2F2F2" w:themeFill="background1" w:themeFillShade="F2"/>
          </w:tcPr>
          <w:p w14:paraId="4DFC138D"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w:t>
            </w:r>
            <w:proofErr w:type="gramStart"/>
            <w:r w:rsidRPr="004D7D03">
              <w:rPr>
                <w:rFonts w:ascii="標楷體" w:eastAsia="標楷體" w:hAnsi="標楷體" w:hint="eastAsia"/>
                <w:color w:val="000000"/>
                <w:szCs w:val="24"/>
              </w:rPr>
              <w:t>個</w:t>
            </w:r>
            <w:proofErr w:type="gramEnd"/>
            <w:r w:rsidRPr="004D7D03">
              <w:rPr>
                <w:rFonts w:ascii="標楷體" w:eastAsia="標楷體" w:hAnsi="標楷體" w:hint="eastAsia"/>
                <w:color w:val="000000"/>
                <w:szCs w:val="24"/>
              </w:rPr>
              <w:t>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14:paraId="08449A74" w14:textId="77777777" w:rsidTr="003F41F6">
        <w:trPr>
          <w:jc w:val="center"/>
        </w:trPr>
        <w:tc>
          <w:tcPr>
            <w:tcW w:w="1776" w:type="dxa"/>
            <w:shd w:val="clear" w:color="auto" w:fill="F2F2F2" w:themeFill="background1" w:themeFillShade="F2"/>
          </w:tcPr>
          <w:p w14:paraId="032E1667"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proofErr w:type="gramStart"/>
            <w:r w:rsidR="004D7D03" w:rsidRPr="004D7D03">
              <w:rPr>
                <w:rFonts w:ascii="標楷體" w:eastAsia="標楷體" w:hAnsi="標楷體" w:cs="Times New Roman" w:hint="eastAsia"/>
                <w:color w:val="000000" w:themeColor="text1"/>
                <w:szCs w:val="24"/>
              </w:rPr>
              <w:t>一</w:t>
            </w:r>
            <w:proofErr w:type="gramEnd"/>
            <w:r w:rsidRPr="004D7D03">
              <w:rPr>
                <w:rFonts w:ascii="標楷體" w:eastAsia="標楷體" w:hAnsi="標楷體" w:cs="Times New Roman"/>
                <w:color w:val="000000" w:themeColor="text1"/>
                <w:szCs w:val="24"/>
              </w:rPr>
              <w:t>)</w:t>
            </w:r>
          </w:p>
          <w:p w14:paraId="1A1E2398"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11483E37"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14:paraId="1B876CBE"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14:paraId="356387AC" w14:textId="77777777"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14:paraId="4658925F" w14:textId="77777777"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14:paraId="4EF42BE4" w14:textId="77777777"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14:paraId="784E6C95" w14:textId="77777777" w:rsidTr="003F41F6">
        <w:trPr>
          <w:jc w:val="center"/>
        </w:trPr>
        <w:tc>
          <w:tcPr>
            <w:tcW w:w="9776" w:type="dxa"/>
            <w:gridSpan w:val="4"/>
            <w:shd w:val="clear" w:color="auto" w:fill="F2F2F2" w:themeFill="background1" w:themeFillShade="F2"/>
          </w:tcPr>
          <w:p w14:paraId="4AE618B3"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w:t>
            </w:r>
            <w:proofErr w:type="gramStart"/>
            <w:r w:rsidRPr="004D7D03">
              <w:rPr>
                <w:rFonts w:ascii="標楷體" w:eastAsia="標楷體" w:hAnsi="標楷體" w:hint="eastAsia"/>
                <w:color w:val="000000"/>
                <w:szCs w:val="24"/>
              </w:rPr>
              <w:t>普及，</w:t>
            </w:r>
            <w:proofErr w:type="gramEnd"/>
            <w:r w:rsidRPr="004D7D03">
              <w:rPr>
                <w:rFonts w:ascii="標楷體" w:eastAsia="標楷體" w:hAnsi="標楷體" w:hint="eastAsia"/>
                <w:color w:val="000000"/>
                <w:szCs w:val="24"/>
              </w:rPr>
              <w:t>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14:paraId="407CFC5B" w14:textId="77777777" w:rsidTr="003F41F6">
        <w:trPr>
          <w:jc w:val="center"/>
        </w:trPr>
        <w:tc>
          <w:tcPr>
            <w:tcW w:w="1776" w:type="dxa"/>
            <w:shd w:val="clear" w:color="auto" w:fill="F2F2F2" w:themeFill="background1" w:themeFillShade="F2"/>
          </w:tcPr>
          <w:p w14:paraId="73A87CFF"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21D03FFE"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4D33C8C4"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14:paraId="56A9EAB5"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4F9E03FC" w14:textId="77777777"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 xml:space="preserve">「記」得再「憶」起的日子 </w:t>
            </w:r>
            <w:proofErr w:type="gramStart"/>
            <w:r w:rsidRPr="004D7D03">
              <w:rPr>
                <w:rFonts w:ascii="標楷體" w:eastAsia="標楷體" w:hAnsi="標楷體"/>
                <w:szCs w:val="24"/>
              </w:rPr>
              <w:t>–</w:t>
            </w:r>
            <w:proofErr w:type="gramEnd"/>
            <w:r w:rsidRPr="004D7D03">
              <w:rPr>
                <w:rFonts w:ascii="標楷體" w:eastAsia="標楷體" w:hAnsi="標楷體"/>
                <w:szCs w:val="24"/>
              </w:rPr>
              <w:t xml:space="preserve"> </w:t>
            </w:r>
            <w:proofErr w:type="gramStart"/>
            <w:r w:rsidRPr="004D7D03">
              <w:rPr>
                <w:rFonts w:ascii="標楷體" w:eastAsia="標楷體" w:hAnsi="標楷體"/>
                <w:szCs w:val="24"/>
              </w:rPr>
              <w:t>談失智</w:t>
            </w:r>
            <w:proofErr w:type="gramEnd"/>
            <w:r w:rsidRPr="004D7D03">
              <w:rPr>
                <w:rFonts w:ascii="標楷體" w:eastAsia="標楷體" w:hAnsi="標楷體"/>
                <w:szCs w:val="24"/>
              </w:rPr>
              <w:t>症的預防與照護</w:t>
            </w:r>
          </w:p>
        </w:tc>
        <w:tc>
          <w:tcPr>
            <w:tcW w:w="1984" w:type="dxa"/>
            <w:shd w:val="clear" w:color="auto" w:fill="F2F2F2" w:themeFill="background1" w:themeFillShade="F2"/>
          </w:tcPr>
          <w:p w14:paraId="7C0BB967"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68D4A2F8" w14:textId="77777777" w:rsidR="001905CA" w:rsidRPr="004D7D03" w:rsidRDefault="000D4002" w:rsidP="000D4002">
            <w:pPr>
              <w:pStyle w:val="a4"/>
              <w:jc w:val="center"/>
            </w:pPr>
            <w:r w:rsidRPr="000D4002">
              <w:rPr>
                <w:rFonts w:ascii="Times New Roman" w:hAnsi="Times New Roman" w:cs="Times New Roman"/>
              </w:rPr>
              <w:t>4942538</w:t>
            </w:r>
          </w:p>
        </w:tc>
      </w:tr>
      <w:tr w:rsidR="00A96668" w:rsidRPr="004953E7" w14:paraId="4BB53023" w14:textId="77777777" w:rsidTr="003F41F6">
        <w:trPr>
          <w:jc w:val="center"/>
        </w:trPr>
        <w:tc>
          <w:tcPr>
            <w:tcW w:w="9776" w:type="dxa"/>
            <w:gridSpan w:val="4"/>
            <w:shd w:val="clear" w:color="auto" w:fill="F2F2F2" w:themeFill="background1" w:themeFillShade="F2"/>
            <w:vAlign w:val="center"/>
          </w:tcPr>
          <w:p w14:paraId="15E9F6FE" w14:textId="77777777"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w:t>
            </w:r>
            <w:proofErr w:type="gramStart"/>
            <w:r w:rsidRPr="004D7D03">
              <w:rPr>
                <w:rFonts w:ascii="標楷體" w:eastAsia="標楷體" w:hAnsi="標楷體" w:hint="eastAsia"/>
                <w:szCs w:val="24"/>
              </w:rPr>
              <w:t>罹患失</w:t>
            </w:r>
            <w:proofErr w:type="gramEnd"/>
            <w:r w:rsidRPr="004D7D03">
              <w:rPr>
                <w:rFonts w:ascii="標楷體" w:eastAsia="標楷體" w:hAnsi="標楷體" w:hint="eastAsia"/>
                <w:szCs w:val="24"/>
              </w:rPr>
              <w:t>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w:t>
            </w:r>
            <w:proofErr w:type="gramStart"/>
            <w:r w:rsidRPr="004D7D03">
              <w:rPr>
                <w:rFonts w:ascii="標楷體" w:eastAsia="標楷體" w:hAnsi="標楷體" w:hint="eastAsia"/>
                <w:szCs w:val="24"/>
              </w:rPr>
              <w:t>智症高風險</w:t>
            </w:r>
            <w:proofErr w:type="gramEnd"/>
            <w:r w:rsidRPr="004D7D03">
              <w:rPr>
                <w:rFonts w:ascii="標楷體" w:eastAsia="標楷體" w:hAnsi="標楷體" w:hint="eastAsia"/>
                <w:szCs w:val="24"/>
              </w:rPr>
              <w:t>因子、失智症預防、介紹照顧資源等。</w:t>
            </w:r>
          </w:p>
        </w:tc>
      </w:tr>
      <w:tr w:rsidR="001905CA" w:rsidRPr="004953E7" w14:paraId="632F054B" w14:textId="77777777" w:rsidTr="003F41F6">
        <w:trPr>
          <w:jc w:val="center"/>
        </w:trPr>
        <w:tc>
          <w:tcPr>
            <w:tcW w:w="1776" w:type="dxa"/>
            <w:shd w:val="clear" w:color="auto" w:fill="F2F2F2" w:themeFill="background1" w:themeFillShade="F2"/>
          </w:tcPr>
          <w:p w14:paraId="01047B98"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240637A2"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1D910B49"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14:paraId="606AAECB"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77C09DF0" w14:textId="77777777"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w:t>
            </w:r>
            <w:proofErr w:type="gramStart"/>
            <w:r w:rsidRPr="004D7D03">
              <w:rPr>
                <w:rFonts w:ascii="標楷體" w:eastAsia="標楷體" w:hAnsi="標楷體"/>
                <w:szCs w:val="24"/>
              </w:rPr>
              <w:t>怎們了</w:t>
            </w:r>
            <w:proofErr w:type="gramEnd"/>
            <w:r w:rsidRPr="004D7D03">
              <w:rPr>
                <w:rFonts w:ascii="標楷體" w:eastAsia="標楷體" w:hAnsi="標楷體"/>
                <w:szCs w:val="24"/>
              </w:rPr>
              <w:t>？－洞察伴侶關係中隱藏的惡性循環</w:t>
            </w:r>
          </w:p>
        </w:tc>
        <w:tc>
          <w:tcPr>
            <w:tcW w:w="1984" w:type="dxa"/>
            <w:shd w:val="clear" w:color="auto" w:fill="F2F2F2" w:themeFill="background1" w:themeFillShade="F2"/>
          </w:tcPr>
          <w:p w14:paraId="3377EFD5"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1B388ABC" w14:textId="77777777" w:rsidR="001905CA" w:rsidRPr="004D7D03" w:rsidRDefault="000D4002" w:rsidP="000D4002">
            <w:pPr>
              <w:pStyle w:val="a4"/>
              <w:jc w:val="center"/>
            </w:pPr>
            <w:r w:rsidRPr="000D4002">
              <w:rPr>
                <w:rFonts w:ascii="Times New Roman" w:hAnsi="Times New Roman" w:cs="Times New Roman"/>
              </w:rPr>
              <w:t>4942542</w:t>
            </w:r>
          </w:p>
        </w:tc>
      </w:tr>
      <w:tr w:rsidR="00A96668" w:rsidRPr="004953E7" w14:paraId="59B39032" w14:textId="77777777" w:rsidTr="003F41F6">
        <w:trPr>
          <w:jc w:val="center"/>
        </w:trPr>
        <w:tc>
          <w:tcPr>
            <w:tcW w:w="9776" w:type="dxa"/>
            <w:gridSpan w:val="4"/>
            <w:shd w:val="clear" w:color="auto" w:fill="F2F2F2" w:themeFill="background1" w:themeFillShade="F2"/>
          </w:tcPr>
          <w:p w14:paraId="1DEAF487"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14:paraId="73974E55" w14:textId="77777777" w:rsidTr="000619F9">
        <w:trPr>
          <w:jc w:val="center"/>
        </w:trPr>
        <w:tc>
          <w:tcPr>
            <w:tcW w:w="1776" w:type="dxa"/>
            <w:shd w:val="clear" w:color="auto" w:fill="F2F2F2" w:themeFill="background1" w:themeFillShade="F2"/>
          </w:tcPr>
          <w:p w14:paraId="58AFADFF"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66B2F5B0"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7A8849E9"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14:paraId="59885BD7"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5F382C08"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14:paraId="08FE2273"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187C4CB4" w14:textId="77777777" w:rsidR="004D7D03" w:rsidRPr="004D7D03" w:rsidRDefault="000D4002" w:rsidP="000D4002">
            <w:pPr>
              <w:pStyle w:val="a4"/>
              <w:jc w:val="center"/>
            </w:pPr>
            <w:r w:rsidRPr="000D4002">
              <w:rPr>
                <w:rFonts w:ascii="Times New Roman" w:hAnsi="Times New Roman" w:cs="Times New Roman"/>
              </w:rPr>
              <w:t>4942547</w:t>
            </w:r>
          </w:p>
        </w:tc>
      </w:tr>
      <w:tr w:rsidR="004D7D03" w:rsidRPr="004953E7" w14:paraId="6E1EDB45" w14:textId="77777777" w:rsidTr="000619F9">
        <w:trPr>
          <w:jc w:val="center"/>
        </w:trPr>
        <w:tc>
          <w:tcPr>
            <w:tcW w:w="9776" w:type="dxa"/>
            <w:gridSpan w:val="4"/>
            <w:shd w:val="clear" w:color="auto" w:fill="F2F2F2" w:themeFill="background1" w:themeFillShade="F2"/>
          </w:tcPr>
          <w:p w14:paraId="0EA514E2"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14:paraId="11D5AF99" w14:textId="77777777" w:rsidTr="000619F9">
        <w:trPr>
          <w:jc w:val="center"/>
        </w:trPr>
        <w:tc>
          <w:tcPr>
            <w:tcW w:w="1776" w:type="dxa"/>
            <w:shd w:val="clear" w:color="auto" w:fill="F2F2F2" w:themeFill="background1" w:themeFillShade="F2"/>
          </w:tcPr>
          <w:p w14:paraId="30CED69C"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14:paraId="0A0BF1EC"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74C96A5"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14:paraId="203BFC5A"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384CDC51"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14:paraId="77ACDE2C"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3DD43A84"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14:paraId="18696C63" w14:textId="77777777" w:rsidTr="000619F9">
        <w:trPr>
          <w:jc w:val="center"/>
        </w:trPr>
        <w:tc>
          <w:tcPr>
            <w:tcW w:w="9776" w:type="dxa"/>
            <w:gridSpan w:val="4"/>
            <w:shd w:val="clear" w:color="auto" w:fill="F2F2F2" w:themeFill="background1" w:themeFillShade="F2"/>
          </w:tcPr>
          <w:p w14:paraId="4DBE4BA9"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w:t>
            </w:r>
            <w:proofErr w:type="gramStart"/>
            <w:r w:rsidRPr="004D7D03">
              <w:rPr>
                <w:rFonts w:ascii="標楷體" w:eastAsia="標楷體" w:hAnsi="標楷體" w:hint="eastAsia"/>
                <w:color w:val="000000"/>
                <w:szCs w:val="24"/>
              </w:rPr>
              <w:t>說是在職涯</w:t>
            </w:r>
            <w:proofErr w:type="gramEnd"/>
            <w:r w:rsidRPr="004D7D03">
              <w:rPr>
                <w:rFonts w:ascii="標楷體" w:eastAsia="標楷體" w:hAnsi="標楷體" w:hint="eastAsia"/>
                <w:color w:val="000000"/>
                <w:szCs w:val="24"/>
              </w:rPr>
              <w:t>中的一大考驗，衝突一定有它的意義，提醒著我們需要去正視關係中的一些議題。爭執很常源於對工作上的在意，但也可能是對於現狀的不滿或是彼此</w:t>
            </w:r>
            <w:proofErr w:type="gramStart"/>
            <w:r w:rsidRPr="004D7D03">
              <w:rPr>
                <w:rFonts w:ascii="標楷體" w:eastAsia="標楷體" w:hAnsi="標楷體" w:hint="eastAsia"/>
                <w:color w:val="000000"/>
                <w:szCs w:val="24"/>
              </w:rPr>
              <w:t>有著相異</w:t>
            </w:r>
            <w:proofErr w:type="gramEnd"/>
            <w:r w:rsidRPr="004D7D03">
              <w:rPr>
                <w:rFonts w:ascii="標楷體" w:eastAsia="標楷體" w:hAnsi="標楷體" w:hint="eastAsia"/>
                <w:color w:val="000000"/>
                <w:szCs w:val="24"/>
              </w:rPr>
              <w:t>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14:paraId="514041C1" w14:textId="77777777" w:rsidTr="000619F9">
        <w:trPr>
          <w:jc w:val="center"/>
        </w:trPr>
        <w:tc>
          <w:tcPr>
            <w:tcW w:w="1776" w:type="dxa"/>
            <w:shd w:val="clear" w:color="auto" w:fill="F2F2F2" w:themeFill="background1" w:themeFillShade="F2"/>
          </w:tcPr>
          <w:p w14:paraId="1F6FCB3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1ED3A7C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8D7D92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14:paraId="4BB37E6B"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4005BE5D"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w:t>
            </w:r>
            <w:proofErr w:type="gramStart"/>
            <w:r w:rsidRPr="004D7D03">
              <w:rPr>
                <w:rFonts w:ascii="標楷體" w:eastAsia="標楷體" w:hAnsi="標楷體"/>
                <w:szCs w:val="24"/>
              </w:rPr>
              <w:t>學</w:t>
            </w:r>
            <w:proofErr w:type="gramEnd"/>
            <w:r w:rsidRPr="004D7D03">
              <w:rPr>
                <w:rFonts w:ascii="標楷體" w:eastAsia="標楷體" w:hAnsi="標楷體"/>
                <w:szCs w:val="24"/>
              </w:rPr>
              <w:t>前轉銜預備</w:t>
            </w:r>
          </w:p>
        </w:tc>
        <w:tc>
          <w:tcPr>
            <w:tcW w:w="1984" w:type="dxa"/>
            <w:shd w:val="clear" w:color="auto" w:fill="F2F2F2" w:themeFill="background1" w:themeFillShade="F2"/>
          </w:tcPr>
          <w:p w14:paraId="3764DA6A"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331BEC2D"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14:paraId="67A45575" w14:textId="77777777" w:rsidTr="000619F9">
        <w:trPr>
          <w:jc w:val="center"/>
        </w:trPr>
        <w:tc>
          <w:tcPr>
            <w:tcW w:w="9776" w:type="dxa"/>
            <w:gridSpan w:val="4"/>
            <w:shd w:val="clear" w:color="auto" w:fill="F2F2F2" w:themeFill="background1" w:themeFillShade="F2"/>
          </w:tcPr>
          <w:p w14:paraId="292766ED" w14:textId="77777777"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w:t>
            </w:r>
            <w:proofErr w:type="gramStart"/>
            <w:r w:rsidRPr="004D7D03">
              <w:rPr>
                <w:rFonts w:ascii="標楷體" w:eastAsia="標楷體" w:hAnsi="標楷體" w:cs="Calibri"/>
                <w:color w:val="000000"/>
                <w:szCs w:val="24"/>
              </w:rPr>
              <w:t>對爸媽</w:t>
            </w:r>
            <w:proofErr w:type="gramEnd"/>
            <w:r w:rsidRPr="004D7D03">
              <w:rPr>
                <w:rFonts w:ascii="標楷體" w:eastAsia="標楷體" w:hAnsi="標楷體" w:cs="Calibri"/>
                <w:color w:val="000000"/>
                <w:szCs w:val="24"/>
              </w:rPr>
              <w:t>而言，當注意到日常餐桌的情緒時，就開始醞釀傾聽的習慣，在遊戲中想像與預備著孩子養成專注地習慣，堆砌親子良性互動的基石。</w:t>
            </w:r>
          </w:p>
        </w:tc>
      </w:tr>
      <w:tr w:rsidR="004D7D03" w:rsidRPr="004953E7" w14:paraId="6117DB03" w14:textId="77777777" w:rsidTr="000619F9">
        <w:trPr>
          <w:jc w:val="center"/>
        </w:trPr>
        <w:tc>
          <w:tcPr>
            <w:tcW w:w="1776" w:type="dxa"/>
            <w:shd w:val="clear" w:color="auto" w:fill="F2F2F2" w:themeFill="background1" w:themeFillShade="F2"/>
          </w:tcPr>
          <w:p w14:paraId="266F4EA9"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1729651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2A18DA7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14:paraId="16819AF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0521BA44"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14:paraId="79F36458"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095D732A"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14:paraId="27DC126F" w14:textId="77777777" w:rsidTr="000619F9">
        <w:trPr>
          <w:jc w:val="center"/>
        </w:trPr>
        <w:tc>
          <w:tcPr>
            <w:tcW w:w="9776" w:type="dxa"/>
            <w:gridSpan w:val="4"/>
            <w:shd w:val="clear" w:color="auto" w:fill="F2F2F2" w:themeFill="background1" w:themeFillShade="F2"/>
          </w:tcPr>
          <w:p w14:paraId="6B39EA3D"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w:t>
            </w:r>
            <w:proofErr w:type="gramStart"/>
            <w:r w:rsidRPr="004D7D03">
              <w:rPr>
                <w:rFonts w:ascii="標楷體" w:eastAsia="標楷體" w:hAnsi="標楷體" w:hint="eastAsia"/>
                <w:color w:val="000000"/>
                <w:szCs w:val="24"/>
              </w:rPr>
              <w:t>此外，</w:t>
            </w:r>
            <w:proofErr w:type="gramEnd"/>
            <w:r w:rsidRPr="004D7D03">
              <w:rPr>
                <w:rFonts w:ascii="標楷體" w:eastAsia="標楷體" w:hAnsi="標楷體" w:hint="eastAsia"/>
                <w:color w:val="000000"/>
                <w:szCs w:val="24"/>
              </w:rPr>
              <w:t>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14:paraId="40BBF1EF" w14:textId="77777777" w:rsidR="00F832E9" w:rsidRPr="004D7D03" w:rsidRDefault="00F832E9">
      <w:pPr>
        <w:rPr>
          <w:color w:val="000000" w:themeColor="text1"/>
        </w:rPr>
      </w:pPr>
    </w:p>
    <w:p w14:paraId="053D2DDA" w14:textId="77777777"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14:paraId="1714B760" w14:textId="77777777" w:rsidR="00105E01" w:rsidRDefault="00105E01" w:rsidP="0021688A">
      <w:pPr>
        <w:pStyle w:val="a4"/>
        <w:rPr>
          <w:rFonts w:ascii="Times New Roman" w:hAnsi="Times New Roman" w:cs="Times New Roman"/>
          <w:color w:val="000000" w:themeColor="text1"/>
        </w:rPr>
      </w:pPr>
    </w:p>
    <w:p w14:paraId="10CB93AD" w14:textId="77777777"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14:paraId="6CED175B" w14:textId="77777777"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1F2118A5" wp14:editId="53BB439D">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EA5F126" w14:textId="77777777"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81F9" w14:textId="77777777" w:rsidR="00CF6644" w:rsidRDefault="00CF6644" w:rsidP="005222C5">
      <w:r>
        <w:separator/>
      </w:r>
    </w:p>
  </w:endnote>
  <w:endnote w:type="continuationSeparator" w:id="0">
    <w:p w14:paraId="4186A48E" w14:textId="77777777" w:rsidR="00CF6644" w:rsidRDefault="00CF6644"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2929" w14:textId="77777777" w:rsidR="00CF6644" w:rsidRDefault="00CF6644" w:rsidP="005222C5">
      <w:r>
        <w:separator/>
      </w:r>
    </w:p>
  </w:footnote>
  <w:footnote w:type="continuationSeparator" w:id="0">
    <w:p w14:paraId="127B6440" w14:textId="77777777" w:rsidR="00CF6644" w:rsidRDefault="00CF6644"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4002"/>
    <w:rsid w:val="00105E01"/>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9F4A2A"/>
    <w:rsid w:val="00A27E0E"/>
    <w:rsid w:val="00A33816"/>
    <w:rsid w:val="00A52E98"/>
    <w:rsid w:val="00A7618A"/>
    <w:rsid w:val="00A96668"/>
    <w:rsid w:val="00B46F6D"/>
    <w:rsid w:val="00B70E5C"/>
    <w:rsid w:val="00BD0F9A"/>
    <w:rsid w:val="00C63910"/>
    <w:rsid w:val="00CF6644"/>
    <w:rsid w:val="00D051C7"/>
    <w:rsid w:val="00DE2FAC"/>
    <w:rsid w:val="00DF47D4"/>
    <w:rsid w:val="00E567C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53F3B"/>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2025-03-20T03:54:00Z</dcterms:created>
  <dcterms:modified xsi:type="dcterms:W3CDTF">2025-03-20T03:54:00Z</dcterms:modified>
</cp:coreProperties>
</file>